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rPr>
          <w:rFonts w:ascii="黑体" w:hAnsi="黑体" w:eastAsia="黑体" w:cs="方正小标宋简体"/>
          <w:color w:val="000000"/>
          <w:kern w:val="0"/>
          <w:sz w:val="36"/>
          <w:szCs w:val="36"/>
        </w:rPr>
      </w:pPr>
      <w:r>
        <w:rPr>
          <w:rFonts w:hint="eastAsia" w:ascii="黑体" w:hAnsi="黑体" w:eastAsia="黑体" w:cs="方正小标宋简体"/>
          <w:color w:val="000000"/>
          <w:kern w:val="0"/>
          <w:sz w:val="36"/>
          <w:szCs w:val="36"/>
          <w:lang w:eastAsia="zh-CN"/>
        </w:rPr>
        <w:t>2023</w:t>
      </w:r>
      <w:r>
        <w:rPr>
          <w:rFonts w:hint="eastAsia" w:ascii="黑体" w:hAnsi="黑体" w:eastAsia="黑体" w:cs="方正小标宋简体"/>
          <w:color w:val="000000"/>
          <w:kern w:val="0"/>
          <w:sz w:val="36"/>
          <w:szCs w:val="36"/>
        </w:rPr>
        <w:t>年度行政事业单位内部控制报告填写说明</w:t>
      </w:r>
    </w:p>
    <w:p>
      <w:pPr>
        <w:tabs>
          <w:tab w:val="left" w:pos="851"/>
        </w:tabs>
        <w:adjustRightInd w:val="0"/>
        <w:spacing w:line="360" w:lineRule="auto"/>
        <w:ind w:firstLine="482" w:firstLineChars="200"/>
        <w:rPr>
          <w:rFonts w:hint="eastAsia" w:ascii="宋体" w:hAnsi="宋体" w:eastAsia="宋体" w:cs="楷体_GB2312"/>
          <w:b/>
          <w:bCs/>
          <w:color w:val="000000"/>
          <w:sz w:val="24"/>
          <w:szCs w:val="24"/>
        </w:rPr>
      </w:pPr>
      <w:r>
        <w:rPr>
          <w:rFonts w:hint="eastAsia" w:ascii="宋体" w:hAnsi="宋体" w:eastAsia="宋体" w:cs="楷体_GB2312"/>
          <w:b/>
          <w:bCs/>
          <w:color w:val="000000"/>
          <w:sz w:val="24"/>
          <w:szCs w:val="24"/>
        </w:rPr>
        <w:t>第一部分 总体要求</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此报告由各单位根据本单位内部控制建设情况如实填写。各单位应在</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年度行政事业单位内部控制报告系统中填报相关内容，系统自动生成“</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年行政事业单位内部控制报告”</w:t>
      </w:r>
      <w:bookmarkStart w:id="0" w:name="_GoBack"/>
      <w:bookmarkEnd w:id="0"/>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第二部分 封面填写要求</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组织机构代码根据各级技术监督部门核发的机关、团体、事业单位代码证书规定的9位码填列。单位如已取得统一社会信用代码，需按统一社会信用代码第9－17位信息填列。</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单位预算级次填列部门和单位按照预算管理权限和经费领拨关系所确定的预算级次，与部门决算封面上预算级次一致。非预算单位此项填报“无”。</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预算管理级次按单位预算分级管理的级次选择填列。非预算单位填报“90.非预算单位”。</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支出功能分类填列部门决算《支出决算表》（财决04表）中涉及金额最多的支出功能分类科目。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年末在职人数填列在政府编制管理部门核定的编制内、由单位人事部门管理的实有年末在职人数，与部门决算《基本数字表》（财决附02表）第4栏合计数一致，即“年末实有人数”中“人员总计”的“在职人员”合计数。</w:t>
      </w:r>
    </w:p>
    <w:p>
      <w:pPr>
        <w:tabs>
          <w:tab w:val="left" w:pos="851"/>
        </w:tabs>
        <w:adjustRightInd w:val="0"/>
        <w:spacing w:line="360" w:lineRule="auto"/>
        <w:ind w:firstLine="482" w:firstLineChars="200"/>
        <w:rPr>
          <w:rFonts w:hint="eastAsia" w:ascii="宋体" w:hAnsi="宋体" w:eastAsia="宋体" w:cs="楷体_GB2312"/>
          <w:b/>
          <w:bCs/>
          <w:color w:val="000000"/>
          <w:sz w:val="24"/>
          <w:szCs w:val="24"/>
        </w:rPr>
      </w:pPr>
      <w:r>
        <w:rPr>
          <w:rFonts w:hint="eastAsia" w:ascii="宋体" w:hAnsi="宋体" w:eastAsia="宋体" w:cs="楷体_GB2312"/>
          <w:b/>
          <w:bCs/>
          <w:color w:val="000000"/>
          <w:sz w:val="24"/>
          <w:szCs w:val="24"/>
        </w:rPr>
        <w:t>第三部分 具体内容编写要求</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一、单位层面内部控制情况</w:t>
      </w:r>
    </w:p>
    <w:p>
      <w:pPr>
        <w:widowControl/>
        <w:tabs>
          <w:tab w:val="left" w:pos="851"/>
        </w:tabs>
        <w:adjustRightInd w:val="0"/>
        <w:spacing w:line="360" w:lineRule="auto"/>
        <w:ind w:firstLine="432" w:firstLineChars="200"/>
        <w:rPr>
          <w:rFonts w:hint="eastAsia" w:ascii="宋体" w:hAnsi="宋体" w:eastAsia="宋体" w:cs="方正小标宋简体"/>
          <w:color w:val="000000"/>
          <w:spacing w:val="8"/>
          <w:sz w:val="24"/>
          <w:szCs w:val="24"/>
        </w:rPr>
      </w:pPr>
      <w:r>
        <w:rPr>
          <w:rFonts w:hint="eastAsia" w:ascii="宋体" w:hAnsi="宋体" w:eastAsia="宋体" w:cs="仿宋_GB2312"/>
          <w:color w:val="000000"/>
          <w:spacing w:val="-12"/>
          <w:sz w:val="24"/>
          <w:szCs w:val="24"/>
        </w:rPr>
        <w:t>（一）内部控制机构组成情况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需上传成立内部控制相关机构的制度文件作为佐证材料。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（二）内部控制机构运行情况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内部控制领导小组会议包括内部控制专题会议或与内部控制工作相关的会议。需上传内部控制领导小组会议纪要作为佐证材料。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内部控制相关培训包括内部控制专题培训或将内部控制作为议题之一的相关培训。需上传内部控制培训纪要作为佐证材料。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本年单位层面内部控制风险评估覆盖情况根据本年单位组织开展单位层面风险评估工作以及出具的风险评估报告或其他文件，逐项勾选已进行内部控制风险评估的方面。需上传风险评估报告等材料作为佐证材料。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内部控制评价是指单位自行或者委托第三方对单位内部控制体系建立与实施情况评价并出具评价报告。需上传内部控制评价报告作为佐证材料。</w:t>
      </w:r>
    </w:p>
    <w:p>
      <w:pPr>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（三）规范权力运行情况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分事行权是指对单位经济活动和业务活动的决策、执行、监督，应当明确分工、相互分离、分别行权；分岗设权是指对涉及经济活动、业务活动的相关岗位，应当依职定岗、分岗定权、权责明确；分级授权是指对单位各管理层级和相关岗位，应当明确授权范围、授权对象、授权期限、授权与行权责任、一般授权与特殊授权界限。</w:t>
      </w:r>
    </w:p>
    <w:p>
      <w:pPr>
        <w:tabs>
          <w:tab w:val="left" w:pos="851"/>
        </w:tabs>
        <w:adjustRightInd w:val="0"/>
        <w:spacing w:line="360" w:lineRule="auto"/>
        <w:ind w:firstLine="480" w:firstLineChars="200"/>
        <w:rPr>
          <w:rFonts w:hint="eastAsia" w:ascii="宋体" w:hAnsi="宋体" w:eastAsia="宋体" w:cs="Times New Roman"/>
          <w:sz w:val="24"/>
          <w:szCs w:val="24"/>
        </w:rPr>
      </w:pPr>
      <w:r>
        <w:rPr>
          <w:rFonts w:hint="eastAsia" w:ascii="宋体" w:hAnsi="宋体" w:eastAsia="宋体" w:cs="楷体_GB2312"/>
          <w:color w:val="000000"/>
          <w:sz w:val="24"/>
          <w:szCs w:val="24"/>
        </w:rPr>
        <w:t>“三重一大”是指重大事项决策、重要干部任免、重要项目安排、大额度资金的使用。</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（四）内部控制相关问题整改情况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本年单位内部控制评价发现问题整改情况根据内部控制评价报告以及整改文件及成果等内容填写。</w:t>
      </w:r>
    </w:p>
    <w:p>
      <w:pPr>
        <w:tabs>
          <w:tab w:val="left" w:pos="851"/>
        </w:tabs>
        <w:adjustRightInd w:val="0"/>
        <w:spacing w:line="360" w:lineRule="auto"/>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本年单位巡视发现与内部控制相关问题整改情况根据各类巡视报告及巡视整改工作报告等内容填写，仅填列与内部控制相关的问题。</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本年单位纪检监察发现与内部控制相关问题整改情况根据单位纪检监察报告及整改工作报告等内容填写，仅填列与内部控制相关的问题。</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本年单位审计发现与内部控制相关问题整改情况根据各类审计报告及整改工作报告等内容填写，仅填列与内部控制相关的问题。</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（五）政府会计改革</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单位应当按照国家统一的会计准则制度进行账务处理，编制会计报表，并建立健全会计核算过程和财务报告编制环节的内部控制制度。</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本年单位是否按照政府会计准则制度要求开展预算会计核算和财务会计核算根据单位年度预算会计核算和财务会计核算情况勾选。</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本年编制政府部门财务报告时，部门及所属单位之间发生的经济业务或事项是否在抵销前进行确认根据本年度政府部门财务报告编制过程中的内部抵销情况勾选。若单位不存在内部抵销事项，则勾选“不适用”。</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是否将基本建设投资、公共基础设施、保障性住房、政府储备物资、国有文物文化资产等纳入统一账簿进行会计核算根据单位基本建设投资、公共基础设施、保障性住房、政府储备物资、国有文物文化资产核算实际情况勾选。若单位不存在相关业务，则勾选“不适用”。</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二、业务层面内部控制情况</w:t>
      </w:r>
    </w:p>
    <w:p>
      <w:pPr>
        <w:widowControl/>
        <w:tabs>
          <w:tab w:val="left" w:pos="851"/>
        </w:tabs>
        <w:adjustRightInd w:val="0"/>
        <w:spacing w:line="360" w:lineRule="auto"/>
        <w:ind w:firstLine="432" w:firstLineChars="200"/>
        <w:rPr>
          <w:rFonts w:hint="eastAsia" w:ascii="宋体" w:hAnsi="宋体" w:eastAsia="宋体" w:cs="楷体_GB2312"/>
          <w:color w:val="000000"/>
          <w:sz w:val="24"/>
          <w:szCs w:val="24"/>
        </w:rPr>
      </w:pPr>
      <w:r>
        <w:rPr>
          <w:rFonts w:hint="eastAsia" w:ascii="宋体" w:hAnsi="宋体" w:eastAsia="宋体" w:cs="仿宋_GB2312"/>
          <w:color w:val="000000"/>
          <w:spacing w:val="-12"/>
          <w:sz w:val="24"/>
          <w:szCs w:val="24"/>
        </w:rPr>
        <w:t>（一）内部控制适用的六大经济业务领域</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如单位适用某项经济业务，但本年度该业务实际未发生，也应勾选“适用”。对于不适用的业务领域，应在佐证材料中加以说明或提供支撑材料，如加盖单位公章的说明材料等。</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政府采购是指各级国家机关、事业单位和团体组织，使用财政性资金采购依法制定的集中采购目录以内的或者采购限额标准以上的货物、工程和服务的行为。单位使用财政性资金采购的集中采购目录以外和采购限额标准以下的货物、工程和服务，即自行采购业务也应当比照政府采购业务控制程序执行。</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建设项目是指单位自行或委托其他单位进行的建造、安装活动。建造活动主要是指各种建筑的新建、改建、扩建及修缮活动，安装主要是指设备的安装工程。</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若内部控制建设覆盖六大业务领域以外的其他业务，可填写具体业务名称。</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（二）职责分离情况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职责分离是指对于各业务环节中的不相容职责，不得由同一人员承担。需上传岗位职责说明书等作为佐证材料。使用网络版填报的单位，若以前年度已经上传过相应佐证材料，则无需再次上传；若以前年度未上传或第一年使用网络版填报，则需上传相应佐证材料。使用单机版填报的单位，需上传相应佐证材料。</w:t>
      </w:r>
    </w:p>
    <w:p>
      <w:pPr>
        <w:widowControl/>
        <w:tabs>
          <w:tab w:val="left" w:pos="851"/>
        </w:tabs>
        <w:adjustRightInd w:val="0"/>
        <w:spacing w:line="360" w:lineRule="auto"/>
        <w:ind w:firstLine="432" w:firstLineChars="200"/>
        <w:rPr>
          <w:rFonts w:hint="eastAsia" w:ascii="宋体" w:hAnsi="宋体" w:eastAsia="宋体" w:cs="楷体"/>
          <w:sz w:val="24"/>
          <w:szCs w:val="24"/>
        </w:rPr>
      </w:pPr>
      <w:r>
        <w:rPr>
          <w:rFonts w:hint="eastAsia" w:ascii="宋体" w:hAnsi="宋体" w:eastAsia="宋体" w:cs="仿宋_GB2312"/>
          <w:color w:val="000000"/>
          <w:spacing w:val="-12"/>
          <w:sz w:val="24"/>
          <w:szCs w:val="24"/>
        </w:rPr>
        <w:t>（三）关键岗位轮岗情况</w:t>
      </w:r>
    </w:p>
    <w:p>
      <w:pPr>
        <w:widowControl/>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单位应当按照有关规定对关键岗位人员实行轮岗交流，明确轮岗范围、轮岗周期与轮岗方式，不具备轮岗条件的可以采用专项审计等替代措施。需上传定期轮岗（或专项审计）相关制度、轮岗记录、专项审计报告等文件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（四）本年业务层面风险评估覆盖情况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业务层面内部控制风险评估覆盖情况根据本年单位组织开展业务层面风险评估工作以及出具的风险评估报告或其他文件，逐项勾选已进行内部控制风险评估的方面。需上传风险评估报告等材料作为佐证材料。</w:t>
      </w:r>
    </w:p>
    <w:p>
      <w:pPr>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（五）建立健全内部控制制度情况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是否已建立制度和流程图根据单位内部控制制度和流程图建立情况勾选。截至</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年底单位已经建立对应业务环节（类别）的制度或流程图，勾选“是”；若单位尚未建立对应业务环节（类别）的制度或流程图，勾选“否”。</w:t>
      </w:r>
    </w:p>
    <w:p>
      <w:pPr>
        <w:tabs>
          <w:tab w:val="left" w:pos="851"/>
        </w:tabs>
        <w:adjustRightInd w:val="0"/>
        <w:spacing w:line="360" w:lineRule="auto"/>
        <w:rPr>
          <w:rFonts w:hint="eastAsia" w:ascii="宋体" w:hAnsi="宋体" w:eastAsia="宋体" w:cs="楷体_GB2312"/>
          <w:color w:val="000000"/>
          <w:sz w:val="24"/>
          <w:szCs w:val="24"/>
        </w:rPr>
      </w:pPr>
      <w:r>
        <w:rPr>
          <w:rFonts w:hint="eastAsia" w:ascii="宋体" w:hAnsi="宋体" w:eastAsia="宋体" w:cs="楷体_GB2312"/>
          <w:color w:val="000000"/>
          <w:sz w:val="24"/>
          <w:szCs w:val="24"/>
        </w:rPr>
        <w:t>本年是否更新根据单位本年内部控制制度和流程图更新情况勾选。若单位在以前年度已经建立对应业务的制度或流程图且本年进行过更新，或者单位本年首次建立对应制度或流程图，勾选“是”，否则勾选“否”。</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使用网络版填报的单位，若以前年度已经上传过相应业务的内部控制制度和流程图，则本年只需上传进行过更新或首次建立的制度或流程图作为佐证材料；若以前年度未上传过相应业务的内部控制制度和流程图，或第一年使用网络版填报，则需上传相应业务的内部控制制度和流程图作为佐证材料。使用单机版填报的单位，需上传相应业务的内部控制制度和流程图作为佐证材料。</w:t>
      </w:r>
    </w:p>
    <w:p>
      <w:pPr>
        <w:widowControl/>
        <w:tabs>
          <w:tab w:val="left" w:pos="851"/>
        </w:tabs>
        <w:adjustRightInd w:val="0"/>
        <w:spacing w:line="360" w:lineRule="auto"/>
        <w:ind w:firstLine="432" w:firstLineChars="200"/>
        <w:rPr>
          <w:rFonts w:hint="eastAsia" w:ascii="宋体" w:hAnsi="宋体" w:eastAsia="宋体" w:cs="仿宋_GB2312"/>
          <w:color w:val="000000"/>
          <w:spacing w:val="-12"/>
          <w:sz w:val="24"/>
          <w:szCs w:val="24"/>
        </w:rPr>
      </w:pPr>
      <w:r>
        <w:rPr>
          <w:rFonts w:hint="eastAsia" w:ascii="宋体" w:hAnsi="宋体" w:eastAsia="宋体" w:cs="仿宋_GB2312"/>
          <w:color w:val="000000"/>
          <w:spacing w:val="-12"/>
          <w:sz w:val="24"/>
          <w:szCs w:val="24"/>
        </w:rPr>
        <w:t>（六）内部控制制度执行情况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根据单位内部控制管理制度、业务表单与文件、信息系统数据等材料填写。所填数据中，金额类指标以“元”为单位。</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1.事前绩效评估执行情况中的“本年新增重大项目数量”是指</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年单位新设立的非常态化、非延续性的重大项目数量，重大项目衡量标准由各单位根据实际情况界定；“本年已开展事前绩效评估的新增重大项目数量”是指单位组织或由主管部门统一组织的针对</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年新设立的重大项目开展事前绩效评估的项目数量。预算项目是指非基本支出的二级预算项目。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2.项目支出绩效目标管理情况中的“本年项目总数”是指经批复的</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年单位正在执行的项目数量；“本年已开展绩效目标管理的项目数量”是指单位</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年执行绩效目标管理的项目数量。</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3.预算绩效运行监控执行情况中的“本年已开展预算绩效运行监控的项目数量”是指单位针对</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年执行项目开展绩效运行监控的项目数量。</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4.预算绩效自评执行情况中的“本年已开展预算绩效自评的项目数量”是指单位针对</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年执行项目开展绩效自评的项目数量（包括委托第三方开展绩效评价的项目）。</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以上1-4需上传单位正在执行的预算项目清单作为佐证材料，清单中需至少包括以下信息：项目名称、项目代码、是否为本年新增重大项目、是否已开展事前绩效评估、是否已开展绩效目标管理、是否已开展预算绩效运行监控、是否已开展预算绩效自评。</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5.非税收入管控情况中的“本年实际上缴非税收入”是指决算报表的《非税收入征缴情况表》（财决附04表）中纳入预算管理的已缴国库小计数及纳入财政专户管理的已缴财政专户小计数之和保持一致，即表第1栏次第1行合计数（单位：元）。</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6.支出预决算对比情况中的“本年支出预算金额”是指本年决算报表的《收入支出决算总表》（财决01表）中</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年度支出的全年预算数保持一致，即表第8栏次第84行合计数（单位：元）；“本年实际支出总额”是指</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年决算报表的《收入支出决算总表》（财决01表）中</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年度支出的决算数保持一致，即表第9栏次第84行合计数（单位：元）。</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7.“三公”经费支出上下年对比情况中的“</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年度‘三公’经费决算数”是指</w:t>
      </w:r>
      <w:r>
        <w:rPr>
          <w:rFonts w:hint="eastAsia" w:ascii="宋体" w:hAnsi="宋体" w:eastAsia="宋体" w:cs="楷体_GB2312"/>
          <w:color w:val="000000"/>
          <w:sz w:val="24"/>
          <w:szCs w:val="24"/>
          <w:lang w:eastAsia="zh-CN"/>
        </w:rPr>
        <w:t>2022</w:t>
      </w:r>
      <w:r>
        <w:rPr>
          <w:rFonts w:hint="eastAsia" w:ascii="宋体" w:hAnsi="宋体" w:eastAsia="宋体" w:cs="楷体_GB2312"/>
          <w:color w:val="000000"/>
          <w:sz w:val="24"/>
          <w:szCs w:val="24"/>
        </w:rPr>
        <w:t>年决算报表的《机构运行信息表》（财决附03表）中“三公”经费支出的支出合计数保持一致，即表第2栏次第2行统计数（单位：元）；“</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年度‘三公’经费决算数”是指</w:t>
      </w:r>
      <w:r>
        <w:rPr>
          <w:rFonts w:hint="eastAsia" w:ascii="宋体" w:hAnsi="宋体" w:eastAsia="宋体" w:cs="楷体_GB2312"/>
          <w:color w:val="000000"/>
          <w:sz w:val="24"/>
          <w:szCs w:val="24"/>
          <w:lang w:eastAsia="zh-CN"/>
        </w:rPr>
        <w:t>2023年决算报表的《机构运行信息表》（财决附03表）中“三公”经费支出的支出合计数保持一致，即表第3栏次第2行统计数（单位：元）</w:t>
      </w:r>
      <w:r>
        <w:rPr>
          <w:rFonts w:hint="eastAsia" w:ascii="宋体" w:hAnsi="宋体" w:eastAsia="宋体" w:cs="楷体_GB2312"/>
          <w:color w:val="000000"/>
          <w:sz w:val="24"/>
          <w:szCs w:val="24"/>
        </w:rPr>
        <w:t>。</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8.政府采购预算完成情况中的“</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年度实际采购金额”是指实际完成的政府采购金额，即采购决算金额，根据</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年决算报表《机构运行信息表》（财决附03表）第4栏次第42行“政府采购支出合计”的统计数（单位：元）保持一致。</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10.固定资产处置规范程度中的“</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年度固定资产减少额”是指单位</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国有资产报表中《资产处置情况汇总表》（财资综06表）中本期减少的固定资产账面原值，即表第2栏次第3行固定资产账面原值小计数（单位：元）保持一致；该指标建议参考资产登记表、资产处置审批单、单位国有资产报表中的资产处置情况表等资料填写。需上传审核后的资产处置审批单（审批单数量大于5份的单位，抽取5份；审批单数量小于或等于5份的单位，全部上传）作为佐证材料。</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11.项目投资计划完成情况中的“</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年度实际投资额”是指</w:t>
      </w:r>
      <w:r>
        <w:rPr>
          <w:rFonts w:hint="eastAsia" w:ascii="宋体" w:hAnsi="宋体" w:eastAsia="宋体" w:cs="楷体_GB2312"/>
          <w:color w:val="000000"/>
          <w:sz w:val="24"/>
          <w:szCs w:val="24"/>
          <w:lang w:eastAsia="zh-CN"/>
        </w:rPr>
        <w:t>2023</w:t>
      </w:r>
      <w:r>
        <w:rPr>
          <w:rFonts w:hint="eastAsia" w:ascii="宋体" w:hAnsi="宋体" w:eastAsia="宋体" w:cs="楷体_GB2312"/>
          <w:color w:val="000000"/>
          <w:sz w:val="24"/>
          <w:szCs w:val="24"/>
        </w:rPr>
        <w:t>年决算报表《项目支出分项目收入支出决算表》（财决06表）“基建项目属性”为“发展改革委安排的基建项目”、“同级财政安排的基建项目”、“其他主管部门安排的基建项目”的支出数合计（单位：元）保持一致。需上传投资计划表或项目概预算表（项目数量大于5个的单位，抽取5份；项目数量小于或等于5个的单位，全部上传）作为佐证材料。</w:t>
      </w:r>
    </w:p>
    <w:p>
      <w:pPr>
        <w:tabs>
          <w:tab w:val="left" w:pos="851"/>
        </w:tabs>
        <w:adjustRightInd w:val="0"/>
        <w:spacing w:line="360" w:lineRule="auto"/>
        <w:ind w:firstLine="480" w:firstLineChars="200"/>
        <w:rPr>
          <w:rFonts w:hint="eastAsia" w:ascii="宋体" w:hAnsi="宋体" w:eastAsia="宋体" w:cs="楷体"/>
          <w:sz w:val="24"/>
          <w:szCs w:val="24"/>
        </w:rPr>
      </w:pPr>
      <w:r>
        <w:rPr>
          <w:rFonts w:hint="eastAsia" w:ascii="宋体" w:hAnsi="宋体" w:eastAsia="宋体" w:cs="楷体_GB2312"/>
          <w:color w:val="000000"/>
          <w:sz w:val="24"/>
          <w:szCs w:val="24"/>
        </w:rPr>
        <w:t>12.合同订立规范情况中的“本年合同订立数”是指单位本年度签订的全部合同个数；“本年经合法性审查的合同数”是指在已签订的合同中，严格执行审核审批程序的合同，其中具有重大影响的合同需有法务人员参与审批并签字。该指标建议参考合同文本、合同台账等资料填写。需上传审核后的合同申请审批单（合同数量大于5个的单位，抽取5份；合同数量小于或等于5个的单位，全部上传）作为佐证材料。</w:t>
      </w:r>
    </w:p>
    <w:p>
      <w:pPr>
        <w:tabs>
          <w:tab w:val="left" w:pos="851"/>
        </w:tabs>
        <w:adjustRightInd w:val="0"/>
        <w:spacing w:line="360" w:lineRule="auto"/>
        <w:ind w:firstLine="514" w:firstLineChars="200"/>
        <w:rPr>
          <w:rFonts w:hint="eastAsia" w:ascii="宋体" w:hAnsi="宋体" w:eastAsia="宋体" w:cs="方正小标宋简体"/>
          <w:b/>
          <w:bCs/>
          <w:color w:val="000000"/>
          <w:spacing w:val="8"/>
          <w:sz w:val="24"/>
          <w:szCs w:val="24"/>
        </w:rPr>
      </w:pPr>
      <w:r>
        <w:rPr>
          <w:rFonts w:hint="eastAsia" w:ascii="宋体" w:hAnsi="宋体" w:eastAsia="宋体" w:cs="方正小标宋简体"/>
          <w:b/>
          <w:bCs/>
          <w:color w:val="000000"/>
          <w:spacing w:val="8"/>
          <w:sz w:val="24"/>
          <w:szCs w:val="24"/>
        </w:rPr>
        <w:t>四、内部控制信息化情况</w:t>
      </w:r>
    </w:p>
    <w:p>
      <w:pPr>
        <w:tabs>
          <w:tab w:val="left" w:pos="851"/>
        </w:tabs>
        <w:adjustRightInd w:val="0"/>
        <w:spacing w:line="360" w:lineRule="auto"/>
        <w:ind w:firstLine="480" w:firstLineChars="200"/>
        <w:rPr>
          <w:rFonts w:hint="eastAsia" w:ascii="宋体" w:hAnsi="宋体" w:eastAsia="宋体" w:cs="楷体_GB2312"/>
          <w:color w:val="000000"/>
          <w:sz w:val="24"/>
          <w:szCs w:val="24"/>
        </w:rPr>
      </w:pPr>
      <w:r>
        <w:rPr>
          <w:rFonts w:hint="eastAsia" w:ascii="宋体" w:hAnsi="宋体" w:eastAsia="宋体" w:cs="楷体_GB2312"/>
          <w:color w:val="000000"/>
          <w:sz w:val="24"/>
          <w:szCs w:val="24"/>
        </w:rPr>
        <w:t>内部控制信息化建设是指运用信息化手段将内部控制关键点嵌入业务系统中。对于只具有报表编报或信息记录功能的系统（模块），如部门预算管理系统（财政版）、部门决算管理系统、行政事业单位资产管理信息系统（财政版）、政府财务报告管理系统、国库集中支付系统、政府会计核算系统、行政事业单位内部控制报告填报系统、与业务无关的内部控制工作辅助软件等未嵌入单位经济业务及其内部控制流程的系统，不属于内部控制信息化的组成模块。单位内部控制信息化模块联通是指不同业务的系统模块之间的数据信息能够同步更新与实时共享。需上传内部控制信息系统设计文档及系统截图作为佐证材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00"/>
    <w:family w:val="auto"/>
    <w:pitch w:val="default"/>
    <w:sig w:usb0="00000000" w:usb1="00000000" w:usb2="00000012"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NjNmE3YzE5ODQxMGZlNGIzYzExNWI4ZDMzNzZjMjgifQ=="/>
  </w:docVars>
  <w:rsids>
    <w:rsidRoot w:val="00DF7717"/>
    <w:rsid w:val="00216496"/>
    <w:rsid w:val="00DF7717"/>
    <w:rsid w:val="15AC7148"/>
    <w:rsid w:val="16266911"/>
    <w:rsid w:val="2D9F7C93"/>
    <w:rsid w:val="2DA95501"/>
    <w:rsid w:val="2E1E1EDD"/>
    <w:rsid w:val="38C713AB"/>
    <w:rsid w:val="4C6B4A07"/>
    <w:rsid w:val="5470598C"/>
    <w:rsid w:val="60A83CD1"/>
    <w:rsid w:val="76250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qFormat/>
    <w:uiPriority w:val="0"/>
    <w:pPr>
      <w:adjustRightInd w:val="0"/>
      <w:jc w:val="left"/>
    </w:pPr>
    <w:rPr>
      <w:rFonts w:ascii="Times New Roman" w:hAnsi="Times New Roman" w:eastAsia="宋体" w:cs="Times New Roman"/>
      <w:szCs w:val="20"/>
    </w:rPr>
  </w:style>
  <w:style w:type="character" w:customStyle="1" w:styleId="5">
    <w:name w:val="正文文本 Char"/>
    <w:basedOn w:val="4"/>
    <w:link w:val="2"/>
    <w:semiHidden/>
    <w:uiPriority w:val="99"/>
  </w:style>
  <w:style w:type="paragraph" w:styleId="6">
    <w:name w:val="List Paragraph"/>
    <w:basedOn w:val="1"/>
    <w:qFormat/>
    <w:uiPriority w:val="34"/>
    <w:pPr>
      <w:ind w:firstLine="420" w:firstLineChars="200"/>
    </w:pPr>
    <w:rPr>
      <w:rFonts w:ascii="Times New Roman" w:hAnsi="Times New Roman" w:eastAsia="宋体" w:cs="Times New Roman"/>
      <w:szCs w:val="24"/>
    </w:rPr>
  </w:style>
  <w:style w:type="character" w:customStyle="1" w:styleId="7">
    <w:name w:val="正文文本 Char1"/>
    <w:link w:val="2"/>
    <w:qFormat/>
    <w:locked/>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4580</Words>
  <Characters>4678</Characters>
  <Lines>36</Lines>
  <Paragraphs>10</Paragraphs>
  <TotalTime>0</TotalTime>
  <ScaleCrop>false</ScaleCrop>
  <LinksUpToDate>false</LinksUpToDate>
  <CharactersWithSpaces>4681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2022-05-25T08:06:00Z</dcterms:created>
  <dc:creator>董子涵</dc:creator>
  <cp:lastModifiedBy>马甲</cp:lastModifiedBy>
  <dcterms:modified xsi:type="dcterms:W3CDTF">2024-03-25T00:31:21Z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6C6968ACC599428A99442C998836A2FD_12</vt:lpwstr>
  </property>
</Properties>
</file>