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rPr>
          <w:rFonts w:ascii="黑体" w:hAnsi="黑体" w:eastAsia="黑体" w:cs="方正小标宋简体"/>
          <w:color w:val="000000"/>
          <w:kern w:val="0"/>
          <w:sz w:val="36"/>
          <w:szCs w:val="36"/>
        </w:rPr>
      </w:pPr>
      <w:r>
        <w:rPr>
          <w:rFonts w:hint="eastAsia" w:ascii="黑体" w:hAnsi="黑体" w:eastAsia="黑体" w:cs="方正小标宋简体"/>
          <w:color w:val="000000"/>
          <w:kern w:val="0"/>
          <w:sz w:val="36"/>
          <w:szCs w:val="36"/>
          <w:lang w:eastAsia="zh-CN"/>
        </w:rPr>
        <w:t>2022</w:t>
      </w:r>
      <w:r>
        <w:rPr>
          <w:rFonts w:hint="eastAsia" w:ascii="黑体" w:hAnsi="黑体" w:eastAsia="黑体" w:cs="方正小标宋简体"/>
          <w:color w:val="000000"/>
          <w:kern w:val="0"/>
          <w:sz w:val="36"/>
          <w:szCs w:val="36"/>
        </w:rPr>
        <w:t>年度行政事业单位内部控制报告填写说明</w:t>
      </w:r>
    </w:p>
    <w:p>
      <w:pPr>
        <w:tabs>
          <w:tab w:val="left" w:pos="851"/>
        </w:tabs>
        <w:adjustRightInd w:val="0"/>
        <w:spacing w:line="360" w:lineRule="auto"/>
        <w:ind w:firstLine="482" w:firstLineChars="200"/>
        <w:rPr>
          <w:rFonts w:hint="eastAsia" w:ascii="宋体" w:hAnsi="宋体" w:eastAsia="宋体" w:cs="楷体_GB2312"/>
          <w:b/>
          <w:bCs/>
          <w:color w:val="000000"/>
          <w:sz w:val="24"/>
          <w:szCs w:val="24"/>
        </w:rPr>
      </w:pPr>
      <w:r>
        <w:rPr>
          <w:rFonts w:hint="eastAsia" w:ascii="宋体" w:hAnsi="宋体" w:eastAsia="宋体" w:cs="楷体_GB2312"/>
          <w:b/>
          <w:bCs/>
          <w:color w:val="000000"/>
          <w:sz w:val="24"/>
          <w:szCs w:val="24"/>
        </w:rPr>
        <w:t>第一部分 总体要求</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此报告由各单位根据本单位内部控制建设情况如实填写。各单位应在</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年度行政事业单位内部控制报告系统中填报相关内容，系统自动生成“</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年行政事业单位内部控制报告”</w:t>
      </w:r>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第二部分 封面填写要求</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组织机构代码根据各级技术监督部门核发的机关、团体、事业单位代码证书规定的9位码填列。单位如已取得统一社会信用代码，需按统一社会信用代码第9－17位信息填列。</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单位预算级次填列部门和单位按照预算管理权限和经费领拨关系所确定的预算级次，与部门决算封面上预算级次一致。非预算单位此项填报“无”。</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预算管理级次按单位预算分级管理的级次选择填列。非预算单位填报“90.非预算单位”。</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支出功能分类填列部门决算《支出决算表》（财决04表）中涉及金额最多的支出功能分类科目。</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年末在职人数填列在政府编制管理部门核定的编制内、由单位人事部门管理的实有年末在职人数，与部门决算《基本数字表》（财决附02表）第4栏合计数一致，即“年末实有人数”中“人员总计”的“在职人员”合计数。</w:t>
      </w:r>
    </w:p>
    <w:p>
      <w:pPr>
        <w:tabs>
          <w:tab w:val="left" w:pos="851"/>
        </w:tabs>
        <w:adjustRightInd w:val="0"/>
        <w:spacing w:line="360" w:lineRule="auto"/>
        <w:ind w:firstLine="482" w:firstLineChars="200"/>
        <w:rPr>
          <w:rFonts w:hint="eastAsia" w:ascii="宋体" w:hAnsi="宋体" w:eastAsia="宋体" w:cs="楷体_GB2312"/>
          <w:b/>
          <w:bCs/>
          <w:color w:val="000000"/>
          <w:sz w:val="24"/>
          <w:szCs w:val="24"/>
        </w:rPr>
      </w:pPr>
      <w:r>
        <w:rPr>
          <w:rFonts w:hint="eastAsia" w:ascii="宋体" w:hAnsi="宋体" w:eastAsia="宋体" w:cs="楷体_GB2312"/>
          <w:b/>
          <w:bCs/>
          <w:color w:val="000000"/>
          <w:sz w:val="24"/>
          <w:szCs w:val="24"/>
        </w:rPr>
        <w:t>第三部分 具体内容编写要求</w:t>
      </w:r>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一、单位层面内部控制情况</w:t>
      </w:r>
    </w:p>
    <w:p>
      <w:pPr>
        <w:widowControl/>
        <w:tabs>
          <w:tab w:val="left" w:pos="851"/>
        </w:tabs>
        <w:adjustRightInd w:val="0"/>
        <w:spacing w:line="360" w:lineRule="auto"/>
        <w:ind w:firstLine="432" w:firstLineChars="200"/>
        <w:rPr>
          <w:rFonts w:hint="eastAsia" w:ascii="宋体" w:hAnsi="宋体" w:eastAsia="宋体" w:cs="方正小标宋简体"/>
          <w:color w:val="000000"/>
          <w:spacing w:val="8"/>
          <w:sz w:val="24"/>
          <w:szCs w:val="24"/>
        </w:rPr>
      </w:pPr>
      <w:r>
        <w:rPr>
          <w:rFonts w:hint="eastAsia" w:ascii="宋体" w:hAnsi="宋体" w:eastAsia="宋体" w:cs="仿宋_GB2312"/>
          <w:color w:val="000000"/>
          <w:spacing w:val="-12"/>
          <w:sz w:val="24"/>
          <w:szCs w:val="24"/>
        </w:rPr>
        <w:t>（一）内部控制机构组成情况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需上传成立内部控制相关机构的制度文件作为佐证材料。</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（二）内部控制机构运行情况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内部控制领导小组会议包括内部控制专题会议或与内部控制工作相关的会议。需上传内部控制领导小组会议纪要作为佐证材料。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内部控制相关培训包括内部控制专题培训或将内部控制作为议题之一的相关培训。需上传内部控制培训纪要作为佐证材料。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本年单位层面内部控制风险评估覆盖情况根据本年单位组织开展单位层面风险评估工作以及出具的风险评估报告或其他文件，逐项勾选已进行内部控制风险评估的方面。需上传风险评估报告等材料作为佐证材料。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内部控制评价是指单位自行或者委托第三方对单位内部控制体系建立与实施情况评价并出具评价报告。需上传内部控制评价报告作为佐证材料。</w:t>
      </w:r>
    </w:p>
    <w:p>
      <w:pPr>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（三）规范权力运行情况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分事行权是指对单位经济活动和业务活动的决策、执行、监督，应当明确分工、相互分离、分别行权；分岗设权是指对涉及经济活动、业务活动的相关岗位，应当依职定岗、分岗定权、权责明确；分级授权是指对单位各管理层级和相关岗位，应当明确授权范围、授权对象、授权期限、授权与行权责任、一般授权与特殊授权界限。</w:t>
      </w:r>
    </w:p>
    <w:p>
      <w:pPr>
        <w:tabs>
          <w:tab w:val="left" w:pos="851"/>
        </w:tabs>
        <w:adjustRightInd w:val="0"/>
        <w:spacing w:line="360" w:lineRule="auto"/>
        <w:ind w:firstLine="480" w:firstLineChars="200"/>
        <w:rPr>
          <w:rFonts w:hint="eastAsia" w:ascii="宋体" w:hAnsi="宋体" w:eastAsia="宋体" w:cs="Times New Roman"/>
          <w:sz w:val="24"/>
          <w:szCs w:val="24"/>
        </w:rPr>
      </w:pPr>
      <w:r>
        <w:rPr>
          <w:rFonts w:hint="eastAsia" w:ascii="宋体" w:hAnsi="宋体" w:eastAsia="宋体" w:cs="楷体_GB2312"/>
          <w:color w:val="000000"/>
          <w:sz w:val="24"/>
          <w:szCs w:val="24"/>
        </w:rPr>
        <w:t>“三重一大”是指重大事项决策、重要干部任免、重要项目安排、大额度资金的使用。</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（四）内部控制相关问题整改情况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本年单位内部控制评价发现问题整改情况根据内部控制评价报告以及整改文件及成果等内容填写。</w:t>
      </w:r>
    </w:p>
    <w:p>
      <w:pPr>
        <w:tabs>
          <w:tab w:val="left" w:pos="851"/>
        </w:tabs>
        <w:adjustRightInd w:val="0"/>
        <w:spacing w:line="360" w:lineRule="auto"/>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本年单位巡视发现与内部控制相关问题整改情况根据各类巡视报告及巡视整改工作报告等内容填写，仅填列与内部控制相关的问题。</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本年单位纪检监察发现与内部控制相关问题整改情况根据单位纪检监察报告及整改工作报告等内容填写，仅填列与内部控制相关的问题。</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本年单位审计发现与内部控制相关问题整改情况根据各类审计报告及整改工作报告等内容填写，仅填列与内部控制相关的问题。</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（五）政府会计改革</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单位应当按照国家统一的会计准则制度进行账务处理，编制会计报表，并建立健全会计核算过程和财务报告编制环节的内部控制制度。</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本年单位是否按照政府会计准则制度要求开展预算会计核算和财务会计核算根据单位年度预算会计核算和财务会计核算情况勾选。</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本年编制政府部门财务报告时，部门及所属单位之间发生的经济业务或事项是否在抵销前进行确认根据本年度政府部门财务报告编制过程中的内部抵销情况勾选。若单位不存在内部抵销事项，则勾选“不适用”。</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是否将基本建设投资、公共基础设施、保障性住房、政府储备物资、国有文物文化资产等纳入统一账簿进行会计核算根据单位基本建设投资、公共基础设施、保障性住房、政府储备物资、国有文物文化资产核算实际情况勾选。若单位不存在相关业务，则勾选“不适用”。</w:t>
      </w:r>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二、业务层面内部控制情况</w:t>
      </w:r>
    </w:p>
    <w:p>
      <w:pPr>
        <w:widowControl/>
        <w:tabs>
          <w:tab w:val="left" w:pos="851"/>
        </w:tabs>
        <w:adjustRightInd w:val="0"/>
        <w:spacing w:line="360" w:lineRule="auto"/>
        <w:ind w:firstLine="432" w:firstLineChars="200"/>
        <w:rPr>
          <w:rFonts w:hint="eastAsia" w:ascii="宋体" w:hAnsi="宋体" w:eastAsia="宋体" w:cs="楷体_GB2312"/>
          <w:color w:val="000000"/>
          <w:sz w:val="24"/>
          <w:szCs w:val="24"/>
        </w:rPr>
      </w:pPr>
      <w:r>
        <w:rPr>
          <w:rFonts w:hint="eastAsia" w:ascii="宋体" w:hAnsi="宋体" w:eastAsia="宋体" w:cs="仿宋_GB2312"/>
          <w:color w:val="000000"/>
          <w:spacing w:val="-12"/>
          <w:sz w:val="24"/>
          <w:szCs w:val="24"/>
        </w:rPr>
        <w:t>（一）内部控制适用的六大经济业务领域</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如单位适用某项经济业务，但本年度该业务实际未发生，也应勾选“适用”。对于不适用的业务领域，应在佐证材料中加以说明或提供支撑材料，如加盖单位公章的说明材料等。</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政府采购是指各级国家机关、事业单位和团体组织，使用财政性资金采购依法制定的集中采购目录以内的或者采购限额标准以上的货物、工程和服务的行为。单位使用财政性资金采购的集中采购目录以外和采购限额标准以下的货物、工程和服务，即自行采购业务也应当比照政府采购业务控制程序执行。</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建设项目是指单位自行或委托其他单位进行的建造、安装活动。建造活动主要是指各种建筑的新建、改建、扩建及修缮活动，安装主要是指设备的安装工程。</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若内部控制建设覆盖六大业务领域以外的其他业务，可填写具体业务名称。</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（二）职责分离情况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职责分离是指对于各业务环节中的不相容职责，不得由同一人员承担。需上传岗位职责说明书等作为佐证材料。使用网络版填报的单位，若以前年度已经上传过相应佐证材料，则无需再次上传；若以前年度未上传或第一年使用网络版填报，则需上传相应佐证材料。使用单机版填报的单位，需上传相应佐证材料。</w:t>
      </w:r>
    </w:p>
    <w:p>
      <w:pPr>
        <w:widowControl/>
        <w:tabs>
          <w:tab w:val="left" w:pos="851"/>
        </w:tabs>
        <w:adjustRightInd w:val="0"/>
        <w:spacing w:line="360" w:lineRule="auto"/>
        <w:ind w:firstLine="432" w:firstLineChars="200"/>
        <w:rPr>
          <w:rFonts w:hint="eastAsia" w:ascii="宋体" w:hAnsi="宋体" w:eastAsia="宋体" w:cs="楷体"/>
          <w:sz w:val="24"/>
          <w:szCs w:val="24"/>
        </w:rPr>
      </w:pPr>
      <w:r>
        <w:rPr>
          <w:rFonts w:hint="eastAsia" w:ascii="宋体" w:hAnsi="宋体" w:eastAsia="宋体" w:cs="仿宋_GB2312"/>
          <w:color w:val="000000"/>
          <w:spacing w:val="-12"/>
          <w:sz w:val="24"/>
          <w:szCs w:val="24"/>
        </w:rPr>
        <w:t>（三）关键岗位轮岗情况</w:t>
      </w:r>
    </w:p>
    <w:p>
      <w:pPr>
        <w:widowControl/>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应当按照有关规定对关键岗位人员实行轮岗交流，明确轮岗范围、轮岗周期与轮岗方式，不具备轮岗条件的可以采用专项审计等替代措施。需上传定期轮岗（或专项审计）相关制度、轮岗记录、专项审计报告等文件作为佐证材料。</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（四）本年业务层面风险评估覆盖情况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业务层面内部控制风险评估覆盖情况根据本年单位组织开展业务层面风险评估工作以及出具的风险评估报告或其他文件，逐项勾选已进行内部控制风险评估的方面。需上传风险评估报告等材料作为佐证材料。</w:t>
      </w:r>
    </w:p>
    <w:p>
      <w:pPr>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（五）建立健全内部控制制度情况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是否已建立制度和流程图根据单位内部控制制度和流程图建立情况勾选。截至</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年底单位已经建立对应业务环节（类别）的制度或流程图，勾选“是”；若单位尚未建立对应业务环节（类别）的制度或流程图，勾选“否”。</w:t>
      </w:r>
    </w:p>
    <w:p>
      <w:pPr>
        <w:tabs>
          <w:tab w:val="left" w:pos="851"/>
        </w:tabs>
        <w:adjustRightInd w:val="0"/>
        <w:spacing w:line="360" w:lineRule="auto"/>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是否更新根据单位本年内部控制制度和流程图更新情况勾选。若单位在以前年度已经建立对应业务的制度或流程图且本年进行过更新，或者单位本年首次建立对应制度或流程图，勾选“是”，否则勾选“否”。</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使用网络版填报的单位，若以前年度已经上传过相应业务的内部控制制度和流程图，则本年只需上传进行过更新或首次建立的制度或流程图作为佐证材料；若以前年度未上传过相应业务的内部控制制度和流程图，或第一年使用网络版填报，则需上传相应业务的内部控制制度和流程图作为佐证材料。使用单机版填报的单位，需上传相应业务的内部控制制度和流程图作为佐证材料。</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（六）内部控制制度执行情况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根据单位内部控制管理制度、业务表单与文件、信息系统数据等材料填写。所填数据中，金额类指标以“元”为单位。</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1.事前绩效评估执行情况中的“本年新增重大项目数量”是指</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年单位新设立的非常态化、非延续性的重大项目数量，重大项目衡量标准由各单位根据实际情况界定；“本年已开展事前绩效评估的新增重大项目数量”是指单位组织或由主管部门统一组织的针对</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年新设立的重大项目开展事前绩效评估的项目数量。预算项目是指非基本支出的二级预算项目。</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2.项目支出绩效目标管理情况中的“本年项目总数”是指经批复的</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年单位正在执行的项目数量；“本年已开展绩效目标管理的项目数量”是指单位</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年执行绩效目标管理的项目数量。</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3.预算绩效运行监控执行情况中的“本年已开展预算绩效运行监控的项目数量”是指单位针对</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年执行项目开展绩效运行监控的项目数量。</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4.预算绩效自评执行情况中的“本年已开展预算绩效自评的项目数量”是指单位针对</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年执行项目开展绩效自评的项目数量（包括委托第三方开展绩效评价的项目）。</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以上1-4需上传单位正在执行的预算项目清单作为佐证材料，清单中需至少包括以下信息：项目名称、项目代码、是否为本年新增重大项目、是否已开展事前绩效评估、是否已开展绩效目标管理、是否已开展预算绩效运行监控、是否已开展预算绩效自评。</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5.非税收入管控情况中的“本年实际上缴非税收入”是指决算报表的《非税收入征缴情况表》（财决附04表）中纳入预算管理的已缴国库小计数及纳入财政专户管理的已缴财政专户小计数之和保持一致，即表第1栏次第1行合计数（单位：元）。</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6.支出预决算对比情况中的“本年支出预算金额”是指本年决算报表的《收入支出决算总表》（财决01表）中2022年度支出的全年预算数保持一致，即表第8栏次第84行合计数（单位：元）；“本年实际支出总额”是指</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年决算报表的《收入支出决算总表》（财决01表）中2022年度支出的决算数保持一致，即表第9栏次第84行合计数（单位：元）。</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7.“三公”经费支出上下年对比情况中的“2021年度‘三公’经费决算数”是指2021年决算报表的《机构运行信息表》（财决附03表）中“三公”经费支出的支出合计数保持一致，即表第2栏次第2行统计数（单位：元）；“2022年度‘三公’经费决算数”是指</w:t>
      </w:r>
      <w:r>
        <w:rPr>
          <w:rFonts w:hint="eastAsia" w:ascii="宋体" w:hAnsi="宋体" w:eastAsia="宋体" w:cs="楷体_GB2312"/>
          <w:color w:val="000000"/>
          <w:sz w:val="24"/>
          <w:szCs w:val="24"/>
          <w:lang w:eastAsia="zh-CN"/>
        </w:rPr>
        <w:t>2022年决算报表的《机构运行信息表》（财决附03表）中“三公”经费支出的支出合计数保持一致，即表第3栏次第2行统计数（单位：元）</w:t>
      </w:r>
      <w:r>
        <w:rPr>
          <w:rFonts w:hint="eastAsia" w:ascii="宋体" w:hAnsi="宋体" w:eastAsia="宋体" w:cs="楷体_GB2312"/>
          <w:color w:val="000000"/>
          <w:sz w:val="24"/>
          <w:szCs w:val="24"/>
        </w:rPr>
        <w:t>。</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8.政府采购预算完成情况中的“2022年度实际采购金额”是指实际完成的政府采购金额，即采购决算金额，根据2022年决算报表《机构运行信息表》（财决附03表）第4栏次第42行“政府采购支出合计”的统计数（单位：元）保持一致。</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10.固定资产处置规范程度中的“2022年度固定资产减少额”是指单位2022年国有资产报表中《资产处置情况汇总表》（财资综06表）中本期减少的固定资产账面原值，即表第2栏次第3行固定资产账面原值小计数（单位：元）保持一致；该指标建议参考资产登记表、资产处置审批单、单位国有资产报表中的资产处置情况表等资料填写。需上传审核后的资产处置审批单（审批单数量大于5份的单位，抽取5份；审批单数量小于或等于5份的单位，全部上传）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11.项目投资计划完成情况中的“2022年度实际投资额”是指2022年决算报表《项目支出分项目收入支出决算表》（财决06表）“基建项目属性”为“发展改革委安排的基建项目”、“同级财政安排的基建项目”、“其他主管部门安排的基建项目”的支出数合计（单位：元）保持一致</w:t>
      </w:r>
      <w:bookmarkStart w:id="0" w:name="_GoBack"/>
      <w:bookmarkEnd w:id="0"/>
      <w:r>
        <w:rPr>
          <w:rFonts w:hint="eastAsia" w:ascii="宋体" w:hAnsi="宋体" w:eastAsia="宋体" w:cs="楷体_GB2312"/>
          <w:color w:val="000000"/>
          <w:sz w:val="24"/>
          <w:szCs w:val="24"/>
        </w:rPr>
        <w:t>。需上传投资计划表或项目概预算表（项目数量大于5个的单位，抽取5份；项目数量小于或等于5个的单位，全部上传）作为佐证材料。</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12.合同订立规范情况中的“本年合同订立数”是指单位本年度签订的全部合同个数；“本年经合法性审查的合同数”是指在已签订的合同中，严格执行审核审批程序的合同，其中具有重大影响的合同需有法务人员参与审批并签字。该指标建议参考合同文本、合同台账等资料填写。需上传审核后的合同申请审批单（合同数量大于5个的单位，抽取5份；合同数量小于或等于5个的单位，全部上传）作为佐证材料。</w:t>
      </w:r>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四、内部控制信息化情况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信息化建设是指运用信息化手段将内部控制关键点嵌入业务系统中。对于只具有报表编报或信息记录功能的系统（模块），如部门预算管理系统（财政版）、部门决算管理系统、行政事业单位资产管理信息系统（财政版）、政府财务报告管理系统、国库集中支付系统、政府会计核算系统、行政事业单位内部控制报告填报系统、与业务无关的内部控制工作辅助软件等未嵌入单位经济业务及其内部控制流程的系统，不属于内部控制信息化的组成模块。单位内部控制信息化模块联通是指不同业务的系统模块之间的数据信息能够同步更新与实时共享。需上传内部控制信息系统设计文档及系统截图作为佐证材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0000000000000000000"/>
    <w:charset w:val="00"/>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Y1YmE0YzIwZGUxOGJkODRhZWExYTJiMTU5OTA5ODcifQ=="/>
  </w:docVars>
  <w:rsids>
    <w:rsidRoot w:val="00DF7717"/>
    <w:rsid w:val="00216496"/>
    <w:rsid w:val="00DF7717"/>
    <w:rsid w:val="16266911"/>
    <w:rsid w:val="2D9F7C93"/>
    <w:rsid w:val="2DA95501"/>
    <w:rsid w:val="2E1E1EDD"/>
    <w:rsid w:val="38C713AB"/>
    <w:rsid w:val="4C6B4A07"/>
    <w:rsid w:val="5470598C"/>
    <w:rsid w:val="60A83CD1"/>
    <w:rsid w:val="76250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qFormat/>
    <w:uiPriority w:val="0"/>
    <w:pPr>
      <w:adjustRightInd w:val="0"/>
      <w:jc w:val="left"/>
    </w:pPr>
    <w:rPr>
      <w:rFonts w:ascii="Times New Roman" w:hAnsi="Times New Roman" w:eastAsia="宋体" w:cs="Times New Roman"/>
      <w:szCs w:val="20"/>
    </w:rPr>
  </w:style>
  <w:style w:type="character" w:customStyle="1" w:styleId="5">
    <w:name w:val="正文文本 Char"/>
    <w:basedOn w:val="4"/>
    <w:link w:val="2"/>
    <w:semiHidden/>
    <w:uiPriority w:val="99"/>
  </w:style>
  <w:style w:type="paragraph" w:styleId="6">
    <w:name w:val="List Paragraph"/>
    <w:basedOn w:val="1"/>
    <w:qFormat/>
    <w:uiPriority w:val="34"/>
    <w:pPr>
      <w:ind w:firstLine="420" w:firstLineChars="200"/>
    </w:pPr>
    <w:rPr>
      <w:rFonts w:ascii="Times New Roman" w:hAnsi="Times New Roman" w:eastAsia="宋体" w:cs="Times New Roman"/>
      <w:szCs w:val="24"/>
    </w:rPr>
  </w:style>
  <w:style w:type="character" w:customStyle="1" w:styleId="7">
    <w:name w:val="正文文本 Char1"/>
    <w:link w:val="2"/>
    <w:qFormat/>
    <w:locked/>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4580</Words>
  <Characters>4678</Characters>
  <Lines>36</Lines>
  <Paragraphs>10</Paragraphs>
  <TotalTime>0</TotalTime>
  <ScaleCrop>false</ScaleCrop>
  <LinksUpToDate>false</LinksUpToDate>
  <CharactersWithSpaces>4681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2022-05-25T08:06:00Z</dcterms:created>
  <dc:creator>董子涵</dc:creator>
  <cp:lastModifiedBy>☞青春～永存</cp:lastModifiedBy>
  <dcterms:modified xsi:type="dcterms:W3CDTF">2023-05-18T06:16:20Z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6C6968ACC599428A99442C998836A2FD_12</vt:lpwstr>
  </property>
</Properties>
</file>